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21.07.2008 N 179-пп</w:t>
              <w:br/>
              <w:t xml:space="preserve">(ред. от 18.09.2023)</w:t>
              <w:br/>
              <w:t xml:space="preserve">"О признании территории области курортом регионального значения"</w:t>
              <w:br/>
              <w:t xml:space="preserve">(вместе с "Положением о курорте регионального значения "Санаторий "Первое Мая")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21 июля 2008 г. N 179-пп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ПРИЗНАНИИ ТЕРРИТОРИИ ОБЛАСТИ КУРОРТОМ</w:t>
      </w:r>
    </w:p>
    <w:p>
      <w:pPr>
        <w:pStyle w:val="2"/>
        <w:jc w:val="center"/>
      </w:pPr>
      <w:r>
        <w:rPr>
          <w:sz w:val="20"/>
        </w:rPr>
        <w:t xml:space="preserve">РЕГИОНАЛЬНОГО ЗНАЧЕНИЯ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18.09.2023 N 528-пп)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Федеральным </w:t>
      </w:r>
      <w:hyperlink w:history="0" r:id="rId8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курортах", в целях сохранения и развития санаторно-курортных зон области и регулирования отношений в сфере использования, развития территорий, обладающих особо ценными лечебными и оздоровительными свойствами,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9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Признать территорию общества с ограниченной ответственностью "Санаторий "Первое Мая" курортом регионального значения.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35" w:tooltip="ПОЛОЖЕНИЕ,">
        <w:r>
          <w:rPr>
            <w:sz w:val="20"/>
            <w:color w:val="0000ff"/>
          </w:rPr>
          <w:t xml:space="preserve">Положение</w:t>
        </w:r>
      </w:hyperlink>
      <w:r>
        <w:rPr>
          <w:sz w:val="20"/>
        </w:rPr>
        <w:t xml:space="preserve">, границы и режим округа санитарной охраны курорта регионального значения ООО "Санаторий "Первое Мая" (прилагается).</w:t>
      </w:r>
    </w:p>
    <w:p>
      <w:pPr>
        <w:pStyle w:val="0"/>
        <w:jc w:val="both"/>
      </w:pPr>
      <w:r>
        <w:rPr>
          <w:sz w:val="20"/>
        </w:rPr>
        <w:t xml:space="preserve">(п. 2 в ред. </w:t>
      </w:r>
      <w:hyperlink w:history="0" r:id="rId10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(п. 3 в ред. </w:t>
      </w:r>
      <w:hyperlink w:history="0" r:id="rId11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21 июля 2008 года N 179-пп</w:t>
      </w:r>
    </w:p>
    <w:p>
      <w:pPr>
        <w:pStyle w:val="0"/>
      </w:pPr>
      <w:r>
        <w:rPr>
          <w:sz w:val="20"/>
        </w:rPr>
      </w:r>
    </w:p>
    <w:bookmarkStart w:id="35" w:name="P35"/>
    <w:bookmarkEnd w:id="35"/>
    <w:p>
      <w:pPr>
        <w:pStyle w:val="2"/>
        <w:jc w:val="center"/>
      </w:pPr>
      <w:r>
        <w:rPr>
          <w:sz w:val="20"/>
        </w:rPr>
        <w:t xml:space="preserve">ПОЛОЖЕНИЕ,</w:t>
      </w:r>
    </w:p>
    <w:p>
      <w:pPr>
        <w:pStyle w:val="2"/>
        <w:jc w:val="center"/>
      </w:pPr>
      <w:r>
        <w:rPr>
          <w:sz w:val="20"/>
        </w:rPr>
        <w:t xml:space="preserve">ГРАНИЦЫ И РЕЖИМ ОКРУГА САНИТАРНОЙ ОХРАНЫ КУРОРТА</w:t>
      </w:r>
    </w:p>
    <w:p>
      <w:pPr>
        <w:pStyle w:val="2"/>
        <w:jc w:val="center"/>
      </w:pPr>
      <w:r>
        <w:rPr>
          <w:sz w:val="20"/>
        </w:rPr>
        <w:t xml:space="preserve">РЕГИОНАЛЬНОГО ЗНАЧЕНИЯ ООО "САНАТОРИЙ "ПЕРВОЕ МАЯ"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2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18.09.2023 N 528-пп)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Настоящее Положение разработано в соответствии с Федеральным </w:t>
      </w:r>
      <w:hyperlink w:history="0" r:id="rId13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23 февраля 1995 года N 26-ФЗ "О природных лечебных ресурсах, лечебно-оздоровительных местностях и курортах" в целях рационального использования, охраны лечебных ресурсов и окружающей среды и регулирует отношения в сфере санаторного оздоровления, профилактики заболеваний и отдыха на территориях, обладающих особо ценными лечебно-оздоровительными свойствами и являющихся национальным достоянием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Статус курорта регионального значения присваивается "Санаторию "Первое Мая" Шебекинского городского округа Белгородской области (далее - Курорт) постановлением Правительства Белгородской области в границах, указанных в свидетельстве о государственной регистрации права собственности земельного участка, выданном управлением Федеральной регистрационной службы по Белгородской области от 19 октября 2006 года.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4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Курорт предназначен для отдыха и лечения граждан, проживающих в Белгородской области и других регионах Российской Федерации, с использованием природных ресурсов, которыми область располагает.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Деятельность Курорта осуществляется в соответствии с Федеральными законами Российской Федерации от 23 февраля 1995 года </w:t>
      </w:r>
      <w:hyperlink w:history="0" r:id="rId15" w:tooltip="Федеральный закон от 23.02.1995 N 26-ФЗ (ред. от 26.05.2021) &quot;О природных лечебных ресурсах, лечебно-оздоровительных местностях и курортах&quot; {КонсультантПлюс}">
        <w:r>
          <w:rPr>
            <w:sz w:val="20"/>
            <w:color w:val="0000ff"/>
          </w:rPr>
          <w:t xml:space="preserve">N 26-ФЗ</w:t>
        </w:r>
      </w:hyperlink>
      <w:r>
        <w:rPr>
          <w:sz w:val="20"/>
        </w:rPr>
        <w:t xml:space="preserve"> "О природных лечебных ресурсах лечебно-оздоровительных местностях и курортах", 14 марта 1995 года </w:t>
      </w:r>
      <w:hyperlink w:history="0" r:id="rId16" w:tooltip="Федеральный закон от 14.03.1995 N 33-ФЗ (ред. от 10.07.2023) &quot;Об особо охраняемых природных территориях&quot; (с изм. и доп., вступ. в силу с 01.09.2023) {КонсультантПлюс}">
        <w:r>
          <w:rPr>
            <w:sz w:val="20"/>
            <w:color w:val="0000ff"/>
          </w:rPr>
          <w:t xml:space="preserve">N 33-ФЗ</w:t>
        </w:r>
      </w:hyperlink>
      <w:r>
        <w:rPr>
          <w:sz w:val="20"/>
        </w:rPr>
        <w:t xml:space="preserve"> "Об особо охраняемых природных территориях", </w:t>
      </w:r>
      <w:hyperlink w:history="0" r:id="rId17" w:tooltip="Постановление правительства Белгородской обл. от 29.05.2007 N 126-пп (ред. от 10.10.2022) &quot;О признании территорий области лечебно-оздоровительными местностями или курортами регионального или местного значения&quot; (вместе с &quot;Положением о признании территорий области лечебно-оздоровительными местностями или курортами регионального или местного значения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29 мая 2007 года N 126-пп "О признании территории области лечебно-оздоровительными местностями или курортами регионального или местного значения".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Курорт находится в ведении Союза "Белгородское областное объединение организаций профсоюзов".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9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2. Общие сведения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Курорт расположен в южной стороне Белгородской области в 30 км от областного центра - города Белгорода - на территории Шебекинского городского округа, в благоприятных природно-климатических условиях.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0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географическому положению территория Курорта расположена на острогах Среднерусской возвышенности и на берегу реки Нежеголь, в окружении сосновых и смешанных лесов, на значительной удаленности от промышленных предприятий и автодорог (источников химического и физического загрязнения окружающей среды).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Ландшафтные особенности местности обусловлены расположением ее в лесостепной природной зоне в долине реки Нежеголь и имеют высокую эстетическую ценность благодаря уникальному сочетанию разнообразной растительности и ярко выраженной формы рельефа.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данной местности наблюдается уникальное природное явление - произрастание сосен с искривленными, "падающими" ("пьяными") стволами.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Территория отличается хорошими микроклиматическими условиями и высокой ионизированностью воздуха, которая оказывает лечебное действие при многих заболеваниях органов дыхания, сердечно-сосудистой системы, нервных расстройствах. Все параметры ландшафта территории Курорта оцениваются как благоприятные по своим оздоровительным, эстетическим свойствам для лечебно-реабилитационного использования с высоким курортно-рекреационным потенциалом (2,9 балла из 3-х). Климат умеренно континентальный, с теплым летом и умеренно мягкой зимой.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Основными природными лечебными факторами в районе Курорта являются минеральные воды питьевого назначения, климат и ландшафтные условия, глины мелового периода Поддубенского участка Хворостяновского месторождения.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Вода минеральная питьевая столовая "Ясный колодец" соответствует требованиям нормативных документов. Сертификат выдан обществом с ограниченной ответственностью "Белгородский центр сертификации и испытаний" на основании протокола испытаний от 13 июня 2006 года N 1174.0606.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Глины Поддубенского участка Хворостяновского месторождения представляют собой разновидность карбонатно-силикатных пород верхнемелового возраста, лечебные свойства которых обусловлены широким диапазоном пластичности, большим удельным весом, высокими тепловыми показателями, большой адсорбционной способностью и высокой коллоидальностью.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Глина соответствует требованиям МУ 10-11/40 МЗ 1987 года, МУ 143-9, 316-7 МЗ 1989 года, МР 96/196 МЗ России.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Общая площадь Курорта составляет 59645 кв. метров, территория расположена в сосновом бору, частично - в смешанном лесу, на берегу реки Нежеголь.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Экологическое и санитарно-эпидемиологическое состояние территории, лечебных ресурсов и других природных объектов соответствует правилам и нормам, установленным для особо охраняемых природных территорий лечебно-оздоровительного назначения.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Курорт круглогодично доступен в транспортном отношении для местного населения и прибывающих на лечение и отдых.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Курорт является бальнеологическим и климатическим курортом общесоматического профиля по лечению и профилактике болезней кровообращения и органов дыхания, болезней эндокринной системы, расстройств питания и нарушений обмена веществ, неврологии, травматологии и ортопедии, педиатрии.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Границы лечебно-оздоровительной местности определяются проектом планировки этой местности.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3. Порядок функционирования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Оптимальная вместимость Курорта определяется исходя из норм использования природных лечебных ресурсов, их запасов, естественной возобновляемости, наличия территорий свободных для освоения, эксплуатационных возможностей объектов инфраструктуры Курорта, а также необходимости сохранения благоприятной экологической обстановки на его территории.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Вопросы владения, пользования и распоряжения природными лечебными ресурсами Курорта находятся в ведении Белгородской области. Природные лечебные ресурсы используются в лечебно-оздоровительных целях.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Минеральные воды и лечебные глины предоставляются Курорту в пользование на основании лицензий, выданных в соответствии с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На территории Курорта устанавливается общекурортный режим, предусматривающий проведение мероприятий по борьбе с шумом, запыленностью и загазованностью атмосферного воздуха, регулирование зрелищных и торговых предприятий, а также осуществляются другие мероприятия по охране здоровья граждан и окружающей природной среды.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В целях сохранения санитарно-эпидемиологического благополучия на территории Курорта осуществляются санитарно-противоэпидемические, санитарно-гигиенические, медико-санитарные и ветеринарные мероприятия.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3.6. Контроль за проведением санитарно-противоэпидемиологических мероприятий на территории Курорта осуществляет управление Федеральной службы по надзору в сфере защиты прав потребителей и благополучия человека по Белгородской области.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4. Организация лечебной деятельности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Лечение и оздоровление граждан на Курорте с использованием природных лечебных ресурсов осуществляются на основании лицензий, выдаваемых в порядке, установленном законодательством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Лечение граждан на Курорте проводится в соответствии с медицинскими показаниями и по методикам, утвержденным Министерством здравоохранения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При возникновении у граждан, прибывших на Курорт для лечения и отдыха, острых инфекционных и других заболеваний, а также резком ухудшении здоровья производится их госпитализация в медицинские учреждения Белгородской области в установленном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Контроль за лечебно-профилактической деятельностью Курорта, а также оказание научно-методической и консультационной помощи осуществляет министерство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5. Развитие и застройка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Мероприятия по охране окружающей среды, объектов рекреации и природных лечебных ресурсов отражены в лицензии на право пользования недрами, выданной департаментом по недропользованию по Центральному федеральному округу 25 декабря 2007 года, серия БЕЛ N 00126 ВЭ.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Развитие и застройка Курорта осуществляется в соответствии с генеральным планом и проектом с учетом требований режима округа санитарной охраны. Генеральный план и проект планировки утверждаются в установленном порядке Правительством Белгородской области после согласования с органом местного самоуправления муниципального образования "Шебекинский городской округ".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3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5.3. Предоставление земельных участков для строительства сооружений, разработки, добычи и использования природных лечебных ресурсов, учреждений отдыха, спортивных сооружений и других объектов курортного пользования в пределах территории Курорта производится в соответствии с действующим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5.4. Генеральный план Курорта регионального значения, проекты строительства и реконструкции зданий и сооружений подлежат общей государственной экологической экспертизе.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6. Разработка природных лечебных ресурсов</w:t>
      </w:r>
    </w:p>
    <w:p>
      <w:pPr>
        <w:pStyle w:val="2"/>
        <w:jc w:val="center"/>
      </w:pPr>
      <w:r>
        <w:rPr>
          <w:sz w:val="20"/>
        </w:rPr>
        <w:t xml:space="preserve">и санитарной охраны</w:t>
      </w:r>
    </w:p>
    <w:p>
      <w:pPr>
        <w:pStyle w:val="0"/>
        <w:jc w:val="center"/>
      </w:pPr>
      <w:r>
        <w:rPr>
          <w:sz w:val="20"/>
        </w:rPr>
        <w:t xml:space="preserve">(в ред. </w:t>
      </w:r>
      <w:hyperlink w:history="0" r:id="rId24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18.09.2023 N 528-пп)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6.1. Разработка месторождений минеральных вод и лечебных глин осуществляется специализированными гидрогеологическими и геологическими предприятиями на основании лицензии на право пользования недрами. Обеспечение Курорта питьевыми минеральными водами, лечебными глинами осуществляется на договорных условиях специализированными предприятиями в установленном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6.2. Охрана недр, промышленная безопасность водозаборных сооружений и других устройств по их извлечению и транспортированию, ведение системных гидрорежимных наблюдений осуществляются специализированной гидрогеологической службой в соответствии с технологическими схемами, согласованными с Управлением центрального промышленного округа Ростехнадзора.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6.3. Природные лечебные ресурсы Курорта, как и другие природные объекты, включают собственно территорию Курорта, образуют особо охраняемую природную территорию и подлежат охране в соответствии с требованиями проекта "Округ санитарной охраны "Санатория "Первое Мая" в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6.4. Санитарная охрана Курорта имеет своей целью сохранение химических и физических свойств природных лечебных ресурсов от истощения и загрязнения.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6.5. Правовой основой санитарной охраны Курорта является лицензия на право пользования недрами, выданная департаментом по недропользованию по Центральному федеральному округу 25 декабря 2007 года, серия БЕЛ N 00126 ВЭ. Ликвидация очагов загрязнения в округе санитарной охраны Курорта осуществляется за счет средств пользователей, землепользователей и граждан, нарушивших установленный санитарный режим.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7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6.6. Контроль и надзор за обеспечением установленного режима санитарной охраны осуществляют органы местного самоуправления Шебекинского городского округа Белгородской области, Правительство Белгородской области, управление по технологическому и экологическому надзору Ростехнадзора по Белгородской области, управление Федеральной службы по надзору в сфере защиты прав потребителей и благополучия человека по Белгородской области и другие органы, наделенные соответствующими полномочиями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8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7. Экономическое регулирование деятельности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7.1. Финансирование деятельности и развития Курорта, выполнение природоохранных мероприятий осуществляются за счет источников, определенных в Уставе Курорта, в соответствии с региональными программами использования природных лечебных ресурсов, освоения, охраны лечебно-оздоровительных местностей и развития курортов, а также за счет средств иных, не запрещенных законом источников.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7.2. Курорту предоставляются льготы согласно действующему законодательству.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7.3. Курортный сбор, взимаемый в установленном порядке, используется на развитие, благоустройство Курорта, изыскание, сохранение природных лечебных ресурсов и реализацию санаторно-курортных мероприятий округа санитарной охраны Курорта.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9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18.09.2023 N 528-пп)</w:t>
      </w:r>
    </w:p>
    <w:p>
      <w:pPr>
        <w:pStyle w:val="0"/>
      </w:pPr>
      <w:r>
        <w:rPr>
          <w:sz w:val="20"/>
        </w:rPr>
      </w:r>
    </w:p>
    <w:p>
      <w:pPr>
        <w:pStyle w:val="2"/>
        <w:outlineLvl w:val="1"/>
        <w:jc w:val="center"/>
      </w:pPr>
      <w:r>
        <w:rPr>
          <w:sz w:val="20"/>
        </w:rPr>
        <w:t xml:space="preserve">8. Границы и режим округа санитарной охраны Курорта</w:t>
      </w:r>
    </w:p>
    <w:p>
      <w:pPr>
        <w:pStyle w:val="0"/>
        <w:jc w:val="center"/>
      </w:pPr>
      <w:r>
        <w:rPr>
          <w:sz w:val="20"/>
        </w:rPr>
        <w:t xml:space="preserve">(введен </w:t>
      </w:r>
      <w:hyperlink w:history="0" r:id="rId30" w:tooltip="Постановление Правительства Белгородской обл. от 18.09.2023 N 528-пп &quot;О внесении изменений в постановление Правительства Белгородской области от 21 июля 2008 года N 179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</w:t>
      </w:r>
    </w:p>
    <w:p>
      <w:pPr>
        <w:pStyle w:val="0"/>
        <w:jc w:val="center"/>
      </w:pPr>
      <w:r>
        <w:rPr>
          <w:sz w:val="20"/>
        </w:rPr>
        <w:t xml:space="preserve">от 18.09.2023 N 528-пп)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8.1. Земельные участки и леса в пределах территории Курорта имеют ограниченный режим использования, обусловленный требованиями режима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8.2. На территории Курорта устанавливается режим хозяйственной деятельности, запрещающий работы, загрязняющие почву, воду и воздух, наносящие ущерб лесам, зеленым насаждениям, ведущие к развитию эрозионных процессов и отрицательно влияющие на природные лечебные ресурсы, санитарное и экологическое состояние территории. Указанный режим предусматривает выполнение санитарно-оздоровительных, природоохранных и других мероприятий.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8.3. Установленный режим округа санитарной охраны Курорта учитывается при разработке документов территориального планирования, градостроительного зонирования, документации по планировке территории, архитектурно-строительном проектировании, строительстве, капитальном ремонте и реконструкции объектов капитального строительства, а также при проведении работ по благоустройству населенных пунктов и строительству дорог.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8.4. В составе округа санитарной охраны Курорта выделяются 2 зоны санитарной охраны: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вторая зона округа санитарной охраны;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третья зона округа санитарной охраны.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8.5. Режим второй зоны округа санитарной охраны Курорта устанавливается для территории, с которой происходит сток поверхностных и грунтовых вод к местам неглубокого залегания незащищенных минеральных вод, лесопарков и других зеленых насаждений, а также для территорий, занимаемых зданиями и сооружениями Курорта и предназначенных для санаторно-курортного строительства.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8.6. На территории второй зоны округа санитарной охраны Курорта запрещаются размещение объектов и сооружений, не связанных непосредственно с созданием и развитием сферы курортного лечения и отдыха, а также проведение работ, загрязняющих окружающую среду, природные лечебные ресурсы и приводящих к их истощению, в том числе: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новых и расширение действующих промышленных объектов, производство горных и других работ, не связанных непосредственно с освоением лечебно-оздоровительной местности, а также с развитием и благоустройством курорта;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животноводческих и птицеводческих комплексов и ферм, устройство навозохранилищ;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складов ядохимикатов, минеральных удобрений и горюче-смазочных материалов;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транзитных автомобильных дорог;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коллективных стоянок автотранспорта, не обеспеченных системой очистки отработанных масел и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строительство жилых домов, организация и обустройство садово-огороднических участков и палаточных туристических стоянок без централизованных систем водоснабжения и канализации;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размещение кладбищ и скотомогильников;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устройство поглощающих колодцев, полей орошения, подземной фильтрации и накопителей сточных вод;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складирование и захоронение промышленных, бытовых и сельскохозяйственных отходов;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массовый прогон и выпас скота (кроме пастбищ, обеспечивающих организацию кумысолечения);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использование минеральных удобрений и навозных стоков, применение ядохимикатов при борьбе с вредителями, болезнями растений и сорняками, использование химических методов борьбы с эвтрофикацией водоемов;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сброс сточных, в том числе дренажных, вод в водные объекты (за исключением сброса очищенных вод через специальные глубоководные выпуски), а также другие виды водопользования, отрицательно влияющие на санитарное и экологическое состояние этих объектов;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вырубка зеленых насаждений, кроме рубок ухода за лесом и санитарных рубок, другое использование земельных участков, лесных угодий, которое может привести к ухудшению качества или уменьшению количества природных лечебных ресурсов Курорта.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8.7. В границах третьей зоны округа санитарной охраны Курорта ограничиваются размещение промышленных и сельскохозяйственных организаций и сооружений, а также хозяйственная деятельность, сопровождающаяся загрязнением окружающей среды, природных лечебных ресурсов и их истощением.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Границы второй зоны округа санитарной охраны Курорта.</w:t>
      </w:r>
    </w:p>
    <w:p>
      <w:pPr>
        <w:pStyle w:val="0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1984"/>
        <w:gridCol w:w="1928"/>
        <w:gridCol w:w="3345"/>
      </w:tblGrid>
      <w:tr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39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34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373 125,52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2 134 590,67</w:t>
            </w:r>
          </w:p>
        </w:tc>
        <w:tc>
          <w:tcPr>
            <w:tcW w:w="3345" w:type="dxa"/>
            <w:vAlign w:val="bottom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373 148,37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2 134 610,93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373 153,39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2 134 645,75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373 155,65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2 134 674,69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373 155,65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2 134 701,02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373 166,39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2 134 745,03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373 177,65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2 134 762,53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373 188,20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2 134 778,91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373 190,99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2 134 789,03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373 187,18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2 134 800,12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373 176,61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2 134 800,12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373 166,21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2 134 795,10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373 151,98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2 134 788,22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373 135,03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2 134 782,28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373 119,68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2 134 775,91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373 111,99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2 134 773,75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373 097,74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2 134 768,68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373 090,11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2 134 764,34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373 090,11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2 134 739,23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373 087,89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2 134 716,43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373 084,70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2 134 698,52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373 074,03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2 134 687,17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373 049,09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2 134 673,18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373 025,25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2 134 670,54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373 008,10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2 134 670,54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373 006,32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2 134 602,57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373 018,09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2 134 581,73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373 020,90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2 134 577,33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373 023,43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2 134 576,30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373 065,91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2 134 571,59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373 083,74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2 134 610,75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373 094,56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2 134 605,55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373 125,52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2 134 590,67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Границы третьей зоны округа санитарной охраны Курорта.</w:t>
      </w:r>
    </w:p>
    <w:p>
      <w:pPr>
        <w:pStyle w:val="0"/>
        <w:jc w:val="center"/>
      </w:pPr>
      <w:r>
        <w:rPr>
          <w:sz w:val="20"/>
        </w:rPr>
        <w:t xml:space="preserve">Система координат МСК-31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814"/>
        <w:gridCol w:w="1984"/>
        <w:gridCol w:w="1928"/>
        <w:gridCol w:w="3345"/>
      </w:tblGrid>
      <w:tr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Обозначение характерных точек границ</w:t>
            </w:r>
          </w:p>
        </w:tc>
        <w:tc>
          <w:tcPr>
            <w:gridSpan w:val="2"/>
            <w:tcW w:w="3912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Координаты, м</w:t>
            </w:r>
          </w:p>
        </w:tc>
        <w:tc>
          <w:tcPr>
            <w:tcW w:w="3345" w:type="dxa"/>
            <w:vMerge w:val="restart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Средняя квадратическая погрешность положения характерной точки (Mt), м</w:t>
            </w:r>
          </w:p>
        </w:tc>
      </w:tr>
      <w:tr>
        <w:tc>
          <w:tcPr>
            <w:vMerge w:val="continue"/>
          </w:tcPr>
          <w:p/>
        </w:tc>
        <w:tc>
          <w:tcPr>
            <w:tcW w:w="198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X</w:t>
            </w:r>
          </w:p>
        </w:tc>
        <w:tc>
          <w:tcPr>
            <w:tcW w:w="192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Y</w:t>
            </w:r>
          </w:p>
        </w:tc>
        <w:tc>
          <w:tcPr>
            <w:vMerge w:val="continue"/>
          </w:tcPr>
          <w:p/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373 254,64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2 134 543,82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373 268,53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2 134 564,92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373 251,31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2 134 574,53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373 256,37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2 134 632,34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373 260,10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2 134 635,97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373 274,32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2 134 672,83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373 270,90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2 134 680,42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373 259,55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2 134 683,80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373 256,88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2 134 677,79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373 234,08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2 134 683,33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373 245,83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2 134 734,36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373 252,31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2 134 742,29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373 233,88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2 134 789,01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373 223,82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2 134 813,43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373 210,76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2 134 812,96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373 207,76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2 134 812,86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373 161,28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2 134 811,21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373 152,70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2 134 814,24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373 159,87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2 134 874,22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373 188,52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2 134 880,81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373 218,82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2 134 880,26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373 221,87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2 134 880,21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373 240,36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2 134 879,88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373 240,49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2 134 918,17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373 240,50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2 134 921,17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373 240,50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2 134 924,41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373 244,78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2 134 924,41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373 244,78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2 134 941,13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373 235,57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2 134 941,32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373 235,57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2 134 924,32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2 134 924,37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2 134 916,47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2 134 913,00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2 134 910,36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373 219,17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2 134 904,68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373 216,95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2 134 904,69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373 188,28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2 134 904,87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373 164,59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2 134 904,86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373 161,50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2 134 904,85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373 154,13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2 134 904,82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373 153,61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2 134 889,86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373 144,46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2 134 870,95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373 144,34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2 134 858,20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373 147,18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2 134 845,22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373 143,28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2 134 845,73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373 144,04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2 134 824,33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373 142,80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2 134 817,55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373 130,49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2 134 800,24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373 113,84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2 134 798,07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373 113,39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2 134 799,30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373 105,78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2 134 797,16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373 106,83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2 134 784,04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373 116,64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2 134 787,51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373 119,68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2 134 775,91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373 111,99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2 134 773,75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373 064,89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2 134 768,29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373 029,80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2 134 764,53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373 022,49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2 134 696,11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373 015,12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2 134 681,56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373 012,42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2 134 680,76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373 008,28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2 134 677,26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373 006,32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2 134 602,57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373 018,09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2 134 581,73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373 020,90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2 134 577,33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65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373 023,43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2 134 576,30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373 065,91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2 134 571,59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67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373 083,74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2 134 610,75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373 094,56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2 134 605,55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69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373 125,52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2 134 590,67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70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373 124,64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2 134 570,68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373 122,36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2 134 518,87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373 133,51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2 134 490,48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73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373 145,54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2 134 498,83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74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373 200,42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2 134 541,78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  <w:tr>
        <w:tc>
          <w:tcPr>
            <w:tcW w:w="181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</w:t>
            </w:r>
          </w:p>
        </w:tc>
        <w:tc>
          <w:tcPr>
            <w:tcW w:w="198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373 254,64</w:t>
            </w:r>
          </w:p>
        </w:tc>
        <w:tc>
          <w:tcPr>
            <w:tcW w:w="192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2 134 543,82</w:t>
            </w:r>
          </w:p>
        </w:tc>
        <w:tc>
          <w:tcPr>
            <w:tcW w:w="3345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0,30</w:t>
            </w:r>
          </w:p>
        </w:tc>
      </w:tr>
    </w:tbl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21.07.2008 N 179-пп</w:t>
            <w:br/>
            <w:t>(ред. от 18.09.2023)</w:t>
            <w:br/>
            <w:t>"О признании территории област...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94621&amp;dst=100005" TargetMode = "External"/>
	<Relationship Id="rId8" Type="http://schemas.openxmlformats.org/officeDocument/2006/relationships/hyperlink" Target="https://login.consultant.ru/link/?req=doc&amp;base=LAW&amp;n=384977" TargetMode = "External"/>
	<Relationship Id="rId9" Type="http://schemas.openxmlformats.org/officeDocument/2006/relationships/hyperlink" Target="https://login.consultant.ru/link/?req=doc&amp;base=RLAW404&amp;n=94621&amp;dst=100006" TargetMode = "External"/>
	<Relationship Id="rId10" Type="http://schemas.openxmlformats.org/officeDocument/2006/relationships/hyperlink" Target="https://login.consultant.ru/link/?req=doc&amp;base=RLAW404&amp;n=94621&amp;dst=100007" TargetMode = "External"/>
	<Relationship Id="rId11" Type="http://schemas.openxmlformats.org/officeDocument/2006/relationships/hyperlink" Target="https://login.consultant.ru/link/?req=doc&amp;base=RLAW404&amp;n=94621&amp;dst=100009" TargetMode = "External"/>
	<Relationship Id="rId12" Type="http://schemas.openxmlformats.org/officeDocument/2006/relationships/hyperlink" Target="https://login.consultant.ru/link/?req=doc&amp;base=RLAW404&amp;n=94621&amp;dst=100010" TargetMode = "External"/>
	<Relationship Id="rId13" Type="http://schemas.openxmlformats.org/officeDocument/2006/relationships/hyperlink" Target="https://login.consultant.ru/link/?req=doc&amp;base=LAW&amp;n=384977" TargetMode = "External"/>
	<Relationship Id="rId14" Type="http://schemas.openxmlformats.org/officeDocument/2006/relationships/hyperlink" Target="https://login.consultant.ru/link/?req=doc&amp;base=RLAW404&amp;n=94621&amp;dst=100013" TargetMode = "External"/>
	<Relationship Id="rId15" Type="http://schemas.openxmlformats.org/officeDocument/2006/relationships/hyperlink" Target="https://login.consultant.ru/link/?req=doc&amp;base=LAW&amp;n=384977" TargetMode = "External"/>
	<Relationship Id="rId16" Type="http://schemas.openxmlformats.org/officeDocument/2006/relationships/hyperlink" Target="https://login.consultant.ru/link/?req=doc&amp;base=LAW&amp;n=442427" TargetMode = "External"/>
	<Relationship Id="rId17" Type="http://schemas.openxmlformats.org/officeDocument/2006/relationships/hyperlink" Target="https://login.consultant.ru/link/?req=doc&amp;base=RLAW404&amp;n=89753" TargetMode = "External"/>
	<Relationship Id="rId18" Type="http://schemas.openxmlformats.org/officeDocument/2006/relationships/hyperlink" Target="https://login.consultant.ru/link/?req=doc&amp;base=RLAW404&amp;n=94621&amp;dst=100013" TargetMode = "External"/>
	<Relationship Id="rId19" Type="http://schemas.openxmlformats.org/officeDocument/2006/relationships/hyperlink" Target="https://login.consultant.ru/link/?req=doc&amp;base=RLAW404&amp;n=94621&amp;dst=100015" TargetMode = "External"/>
	<Relationship Id="rId20" Type="http://schemas.openxmlformats.org/officeDocument/2006/relationships/hyperlink" Target="https://login.consultant.ru/link/?req=doc&amp;base=RLAW404&amp;n=94621&amp;dst=100014" TargetMode = "External"/>
	<Relationship Id="rId21" Type="http://schemas.openxmlformats.org/officeDocument/2006/relationships/hyperlink" Target="https://login.consultant.ru/link/?req=doc&amp;base=RLAW404&amp;n=94621&amp;dst=100016" TargetMode = "External"/>
	<Relationship Id="rId22" Type="http://schemas.openxmlformats.org/officeDocument/2006/relationships/hyperlink" Target="https://login.consultant.ru/link/?req=doc&amp;base=RLAW404&amp;n=94621&amp;dst=100017" TargetMode = "External"/>
	<Relationship Id="rId23" Type="http://schemas.openxmlformats.org/officeDocument/2006/relationships/hyperlink" Target="https://login.consultant.ru/link/?req=doc&amp;base=RLAW404&amp;n=94621&amp;dst=100013" TargetMode = "External"/>
	<Relationship Id="rId24" Type="http://schemas.openxmlformats.org/officeDocument/2006/relationships/hyperlink" Target="https://login.consultant.ru/link/?req=doc&amp;base=RLAW404&amp;n=94621&amp;dst=100020" TargetMode = "External"/>
	<Relationship Id="rId25" Type="http://schemas.openxmlformats.org/officeDocument/2006/relationships/hyperlink" Target="https://login.consultant.ru/link/?req=doc&amp;base=RLAW404&amp;n=94621&amp;dst=100019" TargetMode = "External"/>
	<Relationship Id="rId26" Type="http://schemas.openxmlformats.org/officeDocument/2006/relationships/hyperlink" Target="https://login.consultant.ru/link/?req=doc&amp;base=RLAW404&amp;n=94621&amp;dst=100019" TargetMode = "External"/>
	<Relationship Id="rId27" Type="http://schemas.openxmlformats.org/officeDocument/2006/relationships/hyperlink" Target="https://login.consultant.ru/link/?req=doc&amp;base=RLAW404&amp;n=94621&amp;dst=100019" TargetMode = "External"/>
	<Relationship Id="rId28" Type="http://schemas.openxmlformats.org/officeDocument/2006/relationships/hyperlink" Target="https://login.consultant.ru/link/?req=doc&amp;base=RLAW404&amp;n=94621&amp;dst=100013" TargetMode = "External"/>
	<Relationship Id="rId29" Type="http://schemas.openxmlformats.org/officeDocument/2006/relationships/hyperlink" Target="https://login.consultant.ru/link/?req=doc&amp;base=RLAW404&amp;n=94621&amp;dst=100019" TargetMode = "External"/>
	<Relationship Id="rId30" Type="http://schemas.openxmlformats.org/officeDocument/2006/relationships/hyperlink" Target="https://login.consultant.ru/link/?req=doc&amp;base=RLAW404&amp;n=94621&amp;dst=100021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21.07.2008 N 179-пп
(ред. от 18.09.2023)
"О признании территории области курортом регионального значения"
(вместе с "Положением о курорте регионального значения "Санаторий "Первое Мая")</dc:title>
  <dcterms:created xsi:type="dcterms:W3CDTF">2024-04-24T09:29:16Z</dcterms:created>
</cp:coreProperties>
</file>